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EA" w:rsidRPr="006366C0" w:rsidRDefault="006366C0" w:rsidP="006366C0">
      <w:pPr>
        <w:pStyle w:val="Title"/>
      </w:pPr>
      <w:r w:rsidRPr="006366C0">
        <w:t>AEP Networks Capabilities</w:t>
      </w:r>
    </w:p>
    <w:p w:rsidR="006366C0" w:rsidRDefault="006366C0"/>
    <w:p w:rsidR="006366C0" w:rsidRDefault="008641A4" w:rsidP="006366C0">
      <w:pPr>
        <w:pStyle w:val="Heading1"/>
      </w:pPr>
      <w:r>
        <w:t xml:space="preserve">1. </w:t>
      </w:r>
      <w:proofErr w:type="gramStart"/>
      <w:r w:rsidR="006366C0">
        <w:t>By</w:t>
      </w:r>
      <w:proofErr w:type="gramEnd"/>
      <w:r w:rsidR="006366C0">
        <w:t xml:space="preserve"> </w:t>
      </w:r>
      <w:r w:rsidR="00210E7F">
        <w:t>technology function</w:t>
      </w:r>
    </w:p>
    <w:p w:rsidR="006366C0" w:rsidRDefault="008641A4" w:rsidP="006366C0">
      <w:pPr>
        <w:pStyle w:val="Heading2"/>
      </w:pPr>
      <w:r>
        <w:t>1.1 Secure</w:t>
      </w:r>
      <w:r w:rsidR="006366C0">
        <w:t xml:space="preserve"> Network Communications</w:t>
      </w:r>
    </w:p>
    <w:p w:rsidR="008641A4" w:rsidRDefault="00775944" w:rsidP="0069122C">
      <w:pPr>
        <w:pStyle w:val="Heading3"/>
        <w:ind w:firstLine="720"/>
      </w:pPr>
      <w:r>
        <w:t xml:space="preserve">1.1.1 </w:t>
      </w:r>
      <w:r w:rsidR="008641A4">
        <w:t>Site-to-site encryption (ED20, ED100, SCOPE)</w:t>
      </w:r>
    </w:p>
    <w:p w:rsidR="00775944" w:rsidRDefault="00775944" w:rsidP="008641A4"/>
    <w:p w:rsidR="00775944" w:rsidRDefault="00775944" w:rsidP="008641A4"/>
    <w:p w:rsidR="008641A4" w:rsidRDefault="00775944" w:rsidP="0069122C">
      <w:pPr>
        <w:pStyle w:val="Heading3"/>
        <w:ind w:firstLine="720"/>
      </w:pPr>
      <w:r>
        <w:t xml:space="preserve">1.1.2 </w:t>
      </w:r>
      <w:r w:rsidR="008641A4">
        <w:t>Secure Remote Access (ED20, ED100, Net Remote)</w:t>
      </w:r>
    </w:p>
    <w:p w:rsidR="008C1814" w:rsidRDefault="008C1814" w:rsidP="0069122C"/>
    <w:p w:rsidR="0069122C" w:rsidRDefault="008C1814" w:rsidP="008C1814">
      <w:pPr>
        <w:pStyle w:val="Heading3"/>
        <w:ind w:left="720"/>
      </w:pPr>
      <w:r>
        <w:t xml:space="preserve">1.1.3 </w:t>
      </w:r>
      <w:r w:rsidR="0069122C">
        <w:t xml:space="preserve">Secure </w:t>
      </w:r>
      <w:r>
        <w:t>D</w:t>
      </w:r>
      <w:r w:rsidR="0069122C">
        <w:t xml:space="preserve">eployable </w:t>
      </w:r>
      <w:r>
        <w:t>Communications</w:t>
      </w:r>
    </w:p>
    <w:p w:rsidR="006366C0" w:rsidRDefault="006366C0" w:rsidP="006366C0"/>
    <w:p w:rsidR="006366C0" w:rsidRDefault="008641A4" w:rsidP="006366C0">
      <w:pPr>
        <w:pStyle w:val="Heading2"/>
      </w:pPr>
      <w:r>
        <w:t xml:space="preserve">1.2 Secure </w:t>
      </w:r>
      <w:r w:rsidR="0069122C">
        <w:t>Applications</w:t>
      </w:r>
    </w:p>
    <w:p w:rsidR="00775944" w:rsidRDefault="00775944" w:rsidP="008641A4"/>
    <w:p w:rsidR="008641A4" w:rsidRDefault="00775944" w:rsidP="0069122C">
      <w:pPr>
        <w:pStyle w:val="Heading3"/>
        <w:ind w:firstLine="720"/>
      </w:pPr>
      <w:r>
        <w:t xml:space="preserve">1.2.1 </w:t>
      </w:r>
      <w:r w:rsidR="008641A4">
        <w:t>Secure Application Access (A+K)</w:t>
      </w:r>
    </w:p>
    <w:p w:rsidR="009D3D13" w:rsidRDefault="009D3D13" w:rsidP="0069122C">
      <w:pPr>
        <w:pStyle w:val="Heading3"/>
        <w:ind w:firstLine="720"/>
      </w:pPr>
      <w:r>
        <w:t>1.2.2 Secure Virtual Desktop Deployment</w:t>
      </w:r>
    </w:p>
    <w:p w:rsidR="0069122C" w:rsidRDefault="0069122C" w:rsidP="0069122C">
      <w:pPr>
        <w:pStyle w:val="Heading3"/>
        <w:ind w:firstLine="720"/>
      </w:pPr>
      <w:r>
        <w:t>1.2.</w:t>
      </w:r>
      <w:r w:rsidR="00584D31">
        <w:t>3</w:t>
      </w:r>
      <w:r>
        <w:t xml:space="preserve"> </w:t>
      </w:r>
      <w:r>
        <w:t>Secure Video Conferencing</w:t>
      </w:r>
    </w:p>
    <w:p w:rsidR="000A5911" w:rsidRDefault="000A5911" w:rsidP="000A5911"/>
    <w:p w:rsidR="000A5911" w:rsidRDefault="000A5911" w:rsidP="000A5911">
      <w:pPr>
        <w:ind w:left="720"/>
      </w:pPr>
      <w:smartTag w:uri="urn:schemas-microsoft-com:office:smarttags" w:element="stockticker">
        <w:r>
          <w:t>AEP</w:t>
        </w:r>
      </w:smartTag>
      <w:r>
        <w:t xml:space="preserve"> Networks’ Series E </w:t>
      </w:r>
      <w:smartTag w:uri="urn:schemas-microsoft-com:office:smarttags" w:element="stockticker">
        <w:r>
          <w:t>CAPS</w:t>
        </w:r>
      </w:smartTag>
      <w:r>
        <w:t xml:space="preserve"> Enhanced Grade Certified or CISPS certified IPSEC </w:t>
      </w:r>
      <w:smartTag w:uri="urn:schemas-microsoft-com:office:smarttags" w:element="stockticker">
        <w:r>
          <w:t>ESP</w:t>
        </w:r>
      </w:smartTag>
      <w:r>
        <w:t xml:space="preserve"> tunnelling mode encryption system and </w:t>
      </w:r>
      <w:smartTag w:uri="urn:schemas-microsoft-com:office:smarttags" w:element="stockticker">
        <w:r>
          <w:t>AEP</w:t>
        </w:r>
      </w:smartTag>
      <w:r>
        <w:t xml:space="preserve"> Networks’ Series V communications routers are combined to provide a package to secure VC systems.  The solution is appropriate for Video Conferencing products supporting Unicast.</w:t>
      </w:r>
    </w:p>
    <w:p w:rsidR="000A5911" w:rsidRDefault="000A5911" w:rsidP="000A5911">
      <w:pPr>
        <w:ind w:left="720"/>
      </w:pPr>
    </w:p>
    <w:p w:rsidR="000A5911" w:rsidRDefault="000A5911" w:rsidP="000A5911">
      <w:r>
        <w:t>The diagram illustrates 4 types of deployment together with the management infrastructure for the encryption, communications and VC systems (if required):</w:t>
      </w:r>
    </w:p>
    <w:p w:rsidR="000A5911" w:rsidRDefault="000A5911" w:rsidP="000A5911"/>
    <w:p w:rsidR="000A5911" w:rsidRDefault="000A5911" w:rsidP="000A5911">
      <w:pPr>
        <w:numPr>
          <w:ilvl w:val="0"/>
          <w:numId w:val="1"/>
        </w:numPr>
      </w:pPr>
      <w:r>
        <w:t xml:space="preserve">An installation in a conference suite at a data centre where it is possible permanently to install a protectively marked </w:t>
      </w:r>
      <w:proofErr w:type="spellStart"/>
      <w:r>
        <w:t>encryptor</w:t>
      </w:r>
      <w:proofErr w:type="spellEnd"/>
      <w:r>
        <w:t xml:space="preserve"> (the master site)</w:t>
      </w:r>
    </w:p>
    <w:p w:rsidR="000A5911" w:rsidRDefault="000A5911" w:rsidP="000A5911">
      <w:pPr>
        <w:numPr>
          <w:ilvl w:val="0"/>
          <w:numId w:val="1"/>
        </w:numPr>
      </w:pPr>
      <w:r>
        <w:t xml:space="preserve">An installation in a conference suite at a headquarters site where it is possible permanently to install a protectively marked </w:t>
      </w:r>
      <w:proofErr w:type="spellStart"/>
      <w:r>
        <w:t>encryptor</w:t>
      </w:r>
      <w:proofErr w:type="spellEnd"/>
    </w:p>
    <w:p w:rsidR="000A5911" w:rsidRDefault="000A5911" w:rsidP="000A5911">
      <w:pPr>
        <w:numPr>
          <w:ilvl w:val="0"/>
          <w:numId w:val="1"/>
        </w:numPr>
      </w:pPr>
      <w:r>
        <w:t>An installation in a conference suite at a fixed site that does not offer the level of security necessary for an unsupervised encryption device</w:t>
      </w:r>
    </w:p>
    <w:p w:rsidR="000A5911" w:rsidRDefault="000A5911" w:rsidP="000A5911">
      <w:pPr>
        <w:numPr>
          <w:ilvl w:val="0"/>
          <w:numId w:val="1"/>
        </w:numPr>
      </w:pPr>
      <w:r>
        <w:t>An installation in a deployable conferencing system</w:t>
      </w:r>
    </w:p>
    <w:p w:rsidR="00C21221" w:rsidRDefault="00C21221" w:rsidP="00C21221"/>
    <w:p w:rsidR="00C21221" w:rsidRDefault="00C21221" w:rsidP="00C21221">
      <w:r>
        <w:t>The solution can also offer packages to secure single user fixed and deployable systems (see below).</w:t>
      </w:r>
    </w:p>
    <w:p w:rsidR="00C21221" w:rsidRDefault="00C21221" w:rsidP="00C21221"/>
    <w:p w:rsidR="00C21221" w:rsidRDefault="00C21221" w:rsidP="00C21221">
      <w:r>
        <w:t>It is assumed that a typical customer’s requirements will comprise a mixture of these deployment types.  The solution will need to be capable of fully meshed configuration or hub and spoke / star or any combination of these options.  Architectures for different configurations are described in subsequent sections.</w:t>
      </w:r>
    </w:p>
    <w:p w:rsidR="00C21221" w:rsidRDefault="00C21221" w:rsidP="00C21221"/>
    <w:p w:rsidR="00C21221" w:rsidRDefault="00C21221" w:rsidP="00C21221">
      <w:r>
        <w:lastRenderedPageBreak/>
        <w:t>It is also assumed that the solution may need to offer an assured level of data separation between domains within the VC system.  This is addressed in the Cryptographic Communities of Interest section below.</w:t>
      </w:r>
    </w:p>
    <w:p w:rsidR="00C21221" w:rsidRDefault="00C21221" w:rsidP="00C21221"/>
    <w:p w:rsidR="007438BA" w:rsidRDefault="007438BA" w:rsidP="000A5911">
      <w:pPr>
        <w:ind w:left="720"/>
      </w:pPr>
      <w:bookmarkStart w:id="0" w:name="_GoBack"/>
      <w:bookmarkEnd w:id="0"/>
    </w:p>
    <w:p w:rsidR="007438BA" w:rsidRPr="007438BA" w:rsidRDefault="007438BA" w:rsidP="000A5911">
      <w:pPr>
        <w:ind w:left="720"/>
        <w:rPr>
          <w:b/>
          <w:i/>
        </w:rPr>
      </w:pPr>
      <w:r>
        <w:rPr>
          <w:b/>
          <w:i/>
        </w:rPr>
        <w:t>For more detail on AEP Networks Secure Video Conferencing Solution please see &lt;Steve’s datasheet or a variation thereof&gt;</w:t>
      </w:r>
    </w:p>
    <w:p w:rsidR="000A5911" w:rsidRPr="000A5911" w:rsidRDefault="000A5911" w:rsidP="000A5911"/>
    <w:p w:rsidR="00584D31" w:rsidRPr="00584D31" w:rsidRDefault="00584D31" w:rsidP="000A5911">
      <w:pPr>
        <w:pStyle w:val="Heading3"/>
        <w:ind w:left="720"/>
      </w:pPr>
      <w:r>
        <w:t xml:space="preserve">1.2.4 </w:t>
      </w:r>
      <w:r w:rsidR="000A5911">
        <w:t>“</w:t>
      </w:r>
      <w:r>
        <w:t xml:space="preserve">Protecting Cloud </w:t>
      </w:r>
      <w:r w:rsidR="000A5911">
        <w:t>“</w:t>
      </w:r>
    </w:p>
    <w:p w:rsidR="006366C0" w:rsidRDefault="006366C0" w:rsidP="006366C0"/>
    <w:p w:rsidR="006366C0" w:rsidRDefault="008641A4" w:rsidP="006366C0">
      <w:pPr>
        <w:pStyle w:val="Heading2"/>
      </w:pPr>
      <w:r>
        <w:t>1.3 Secure</w:t>
      </w:r>
      <w:r w:rsidR="006366C0">
        <w:t xml:space="preserve"> Network Infrastructure</w:t>
      </w:r>
    </w:p>
    <w:p w:rsidR="0069122C" w:rsidRDefault="0069122C" w:rsidP="0069122C">
      <w:pPr>
        <w:pStyle w:val="Heading3"/>
        <w:ind w:firstLine="720"/>
      </w:pPr>
      <w:r>
        <w:t xml:space="preserve">1.3.1 </w:t>
      </w:r>
      <w:r>
        <w:t>Infrastructure Security (DNSSEC – K)</w:t>
      </w:r>
    </w:p>
    <w:p w:rsidR="006366C0" w:rsidRDefault="006366C0" w:rsidP="006366C0"/>
    <w:p w:rsidR="008641A4" w:rsidRDefault="008641A4" w:rsidP="008641A4">
      <w:pPr>
        <w:pStyle w:val="Heading2"/>
      </w:pPr>
      <w:r>
        <w:t>1.4 Optimised Communications</w:t>
      </w:r>
    </w:p>
    <w:p w:rsidR="009D3D13" w:rsidRDefault="009D3D13"/>
    <w:p w:rsidR="006366C0" w:rsidRDefault="009D3D13" w:rsidP="009D3D13">
      <w:pPr>
        <w:pStyle w:val="Heading3"/>
        <w:ind w:firstLine="720"/>
      </w:pPr>
      <w:r>
        <w:t xml:space="preserve">1.4.1 </w:t>
      </w:r>
      <w:r w:rsidR="006366C0">
        <w:t>Ship-to-shore communications</w:t>
      </w:r>
      <w:r w:rsidR="0069122C">
        <w:t xml:space="preserve"> (</w:t>
      </w:r>
      <w:proofErr w:type="spellStart"/>
      <w:proofErr w:type="gramStart"/>
      <w:r w:rsidR="0069122C">
        <w:t>inc</w:t>
      </w:r>
      <w:proofErr w:type="spellEnd"/>
      <w:proofErr w:type="gramEnd"/>
      <w:r w:rsidR="0069122C">
        <w:t xml:space="preserve"> ASR, </w:t>
      </w:r>
      <w:proofErr w:type="spellStart"/>
      <w:r w:rsidR="0069122C">
        <w:t>etc</w:t>
      </w:r>
      <w:proofErr w:type="spellEnd"/>
      <w:r w:rsidR="0069122C">
        <w:t>)</w:t>
      </w:r>
    </w:p>
    <w:p w:rsidR="009D3D13" w:rsidRDefault="009D3D13" w:rsidP="0069122C"/>
    <w:p w:rsidR="0069122C" w:rsidRDefault="009D3D13" w:rsidP="009D3D13">
      <w:pPr>
        <w:pStyle w:val="Heading3"/>
        <w:ind w:firstLine="720"/>
      </w:pPr>
      <w:r>
        <w:t xml:space="preserve">1.4.2 </w:t>
      </w:r>
      <w:r w:rsidR="0069122C">
        <w:t>Optimising low bandwidth links (</w:t>
      </w:r>
    </w:p>
    <w:p w:rsidR="009D3D13" w:rsidRDefault="009D3D13" w:rsidP="0069122C"/>
    <w:p w:rsidR="0069122C" w:rsidRDefault="009D3D13" w:rsidP="009D3D13">
      <w:pPr>
        <w:pStyle w:val="Heading3"/>
        <w:ind w:firstLine="720"/>
      </w:pPr>
      <w:r>
        <w:t xml:space="preserve">1.4.3 </w:t>
      </w:r>
      <w:r w:rsidR="0069122C">
        <w:t>Internet backup via satellite</w:t>
      </w:r>
    </w:p>
    <w:p w:rsidR="0069122C" w:rsidRDefault="0069122C"/>
    <w:p w:rsidR="0069122C" w:rsidRDefault="0069122C">
      <w:r>
        <w:t>--</w:t>
      </w:r>
    </w:p>
    <w:p w:rsidR="006366C0" w:rsidRDefault="008641A4" w:rsidP="006366C0">
      <w:pPr>
        <w:pStyle w:val="Heading1"/>
      </w:pPr>
      <w:r>
        <w:t xml:space="preserve">2. </w:t>
      </w:r>
      <w:proofErr w:type="gramStart"/>
      <w:r w:rsidR="006366C0">
        <w:t>By</w:t>
      </w:r>
      <w:proofErr w:type="gramEnd"/>
      <w:r w:rsidR="006366C0">
        <w:t xml:space="preserve"> sector</w:t>
      </w:r>
    </w:p>
    <w:p w:rsidR="006366C0" w:rsidRDefault="006366C0"/>
    <w:p w:rsidR="00584D31" w:rsidRDefault="00584D31">
      <w:r>
        <w:t>((See Thales’ website – goes into detail))</w:t>
      </w:r>
    </w:p>
    <w:p w:rsidR="006366C0" w:rsidRDefault="006366C0">
      <w:r>
        <w:t>Emergency services</w:t>
      </w:r>
    </w:p>
    <w:p w:rsidR="006366C0" w:rsidRDefault="006366C0">
      <w:r>
        <w:t>Maritime</w:t>
      </w:r>
    </w:p>
    <w:p w:rsidR="006366C0" w:rsidRDefault="006366C0">
      <w:r>
        <w:t>Enterprise</w:t>
      </w:r>
    </w:p>
    <w:p w:rsidR="006366C0" w:rsidRDefault="006366C0">
      <w:r>
        <w:t>Finance</w:t>
      </w:r>
    </w:p>
    <w:p w:rsidR="006366C0" w:rsidRDefault="006366C0">
      <w:r>
        <w:t>Government</w:t>
      </w:r>
    </w:p>
    <w:p w:rsidR="006366C0" w:rsidRDefault="006366C0">
      <w:r>
        <w:t>Armed services</w:t>
      </w:r>
    </w:p>
    <w:p w:rsidR="006366C0" w:rsidRDefault="006366C0">
      <w:r>
        <w:t>Infrastructure providers (ISPs – DNSSEC)</w:t>
      </w:r>
    </w:p>
    <w:p w:rsidR="006366C0" w:rsidRDefault="006366C0"/>
    <w:p w:rsidR="006366C0" w:rsidRDefault="006366C0"/>
    <w:p w:rsidR="00584D31" w:rsidRDefault="00584D31"/>
    <w:p w:rsidR="006366C0" w:rsidRDefault="0036454B" w:rsidP="00584D31">
      <w:pPr>
        <w:pStyle w:val="Heading2"/>
      </w:pPr>
      <w:proofErr w:type="gramStart"/>
      <w:r>
        <w:t>2.</w:t>
      </w:r>
      <w:r w:rsidR="00584D31">
        <w:t>X</w:t>
      </w:r>
      <w:proofErr w:type="gramEnd"/>
      <w:r w:rsidR="00584D31">
        <w:t xml:space="preserve"> </w:t>
      </w:r>
      <w:r w:rsidR="006366C0">
        <w:t>Critical infrastructure</w:t>
      </w:r>
    </w:p>
    <w:p w:rsidR="00584D31" w:rsidRDefault="00584D31"/>
    <w:p w:rsidR="00584D31" w:rsidRDefault="0036454B" w:rsidP="008C1814">
      <w:pPr>
        <w:pStyle w:val="Heading3"/>
        <w:ind w:firstLine="720"/>
      </w:pPr>
      <w:proofErr w:type="gramStart"/>
      <w:r>
        <w:t>2.</w:t>
      </w:r>
      <w:r w:rsidR="00584D31">
        <w:t>X.1</w:t>
      </w:r>
      <w:proofErr w:type="gramEnd"/>
      <w:r w:rsidR="00584D31">
        <w:t xml:space="preserve"> Airports and Ports</w:t>
      </w:r>
    </w:p>
    <w:p w:rsidR="00584D31" w:rsidRDefault="00584D31"/>
    <w:p w:rsidR="0036454B" w:rsidRDefault="0036454B" w:rsidP="008C1814">
      <w:pPr>
        <w:pStyle w:val="Heading3"/>
        <w:ind w:firstLine="720"/>
      </w:pPr>
      <w:proofErr w:type="gramStart"/>
      <w:r>
        <w:t>2.X.2</w:t>
      </w:r>
      <w:proofErr w:type="gramEnd"/>
      <w:r>
        <w:t xml:space="preserve"> Energy and Utilities / Sensitive sites and events / </w:t>
      </w:r>
    </w:p>
    <w:p w:rsidR="008C1814" w:rsidRDefault="008C1814"/>
    <w:p w:rsidR="008C1814" w:rsidRDefault="008C1814" w:rsidP="008C1814">
      <w:pPr>
        <w:pStyle w:val="Heading2"/>
      </w:pPr>
      <w:proofErr w:type="gramStart"/>
      <w:r>
        <w:lastRenderedPageBreak/>
        <w:t>2.Y</w:t>
      </w:r>
      <w:proofErr w:type="gramEnd"/>
      <w:r>
        <w:t xml:space="preserve"> Government</w:t>
      </w:r>
    </w:p>
    <w:p w:rsidR="008C1814" w:rsidRDefault="008C1814">
      <w:r>
        <w:t>((Loads here))</w:t>
      </w:r>
    </w:p>
    <w:p w:rsidR="0036454B" w:rsidRDefault="0036454B"/>
    <w:p w:rsidR="006366C0" w:rsidRDefault="006366C0">
      <w:r>
        <w:t>Government</w:t>
      </w:r>
    </w:p>
    <w:p w:rsidR="006366C0" w:rsidRDefault="006366C0">
      <w:r>
        <w:t>Industry and Finance</w:t>
      </w:r>
    </w:p>
    <w:p w:rsidR="006366C0" w:rsidRDefault="006366C0">
      <w:r>
        <w:t xml:space="preserve">Radiology </w:t>
      </w:r>
    </w:p>
    <w:p w:rsidR="006366C0" w:rsidRDefault="006366C0">
      <w:proofErr w:type="gramStart"/>
      <w:r>
        <w:t>Radio  Frequency</w:t>
      </w:r>
      <w:proofErr w:type="gramEnd"/>
      <w:r>
        <w:t xml:space="preserve"> and Maritime Services</w:t>
      </w:r>
    </w:p>
    <w:p w:rsidR="006366C0" w:rsidRDefault="006366C0"/>
    <w:sectPr w:rsidR="00636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3903"/>
    <w:multiLevelType w:val="hybridMultilevel"/>
    <w:tmpl w:val="CF3484AC"/>
    <w:lvl w:ilvl="0" w:tplc="1AC42A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C0"/>
    <w:rsid w:val="000010F5"/>
    <w:rsid w:val="0000150B"/>
    <w:rsid w:val="000307D6"/>
    <w:rsid w:val="00033A89"/>
    <w:rsid w:val="000366D1"/>
    <w:rsid w:val="00052E4D"/>
    <w:rsid w:val="00061F51"/>
    <w:rsid w:val="000825D1"/>
    <w:rsid w:val="00092A35"/>
    <w:rsid w:val="00093C35"/>
    <w:rsid w:val="000A5911"/>
    <w:rsid w:val="00145F91"/>
    <w:rsid w:val="00164162"/>
    <w:rsid w:val="00190948"/>
    <w:rsid w:val="001A4D74"/>
    <w:rsid w:val="001B1075"/>
    <w:rsid w:val="001E36D9"/>
    <w:rsid w:val="001E71C9"/>
    <w:rsid w:val="001F44F3"/>
    <w:rsid w:val="001F63A4"/>
    <w:rsid w:val="001F702A"/>
    <w:rsid w:val="00210E7F"/>
    <w:rsid w:val="00211636"/>
    <w:rsid w:val="002177A2"/>
    <w:rsid w:val="00221328"/>
    <w:rsid w:val="00222B0F"/>
    <w:rsid w:val="0025714F"/>
    <w:rsid w:val="00290F22"/>
    <w:rsid w:val="00292494"/>
    <w:rsid w:val="00296984"/>
    <w:rsid w:val="002975EF"/>
    <w:rsid w:val="002A2010"/>
    <w:rsid w:val="002B0B45"/>
    <w:rsid w:val="002B7BF1"/>
    <w:rsid w:val="002D7C0C"/>
    <w:rsid w:val="002E3D7A"/>
    <w:rsid w:val="002F15A9"/>
    <w:rsid w:val="002F3543"/>
    <w:rsid w:val="00324720"/>
    <w:rsid w:val="00354CC5"/>
    <w:rsid w:val="0036454B"/>
    <w:rsid w:val="00364CCF"/>
    <w:rsid w:val="0037450A"/>
    <w:rsid w:val="00391834"/>
    <w:rsid w:val="00397EFE"/>
    <w:rsid w:val="003D2199"/>
    <w:rsid w:val="003D6C8E"/>
    <w:rsid w:val="003F7CA6"/>
    <w:rsid w:val="00400EA0"/>
    <w:rsid w:val="00401CAF"/>
    <w:rsid w:val="0040262B"/>
    <w:rsid w:val="00403EBA"/>
    <w:rsid w:val="00432A26"/>
    <w:rsid w:val="0046574C"/>
    <w:rsid w:val="00472D80"/>
    <w:rsid w:val="00491186"/>
    <w:rsid w:val="004B4AF9"/>
    <w:rsid w:val="004B777B"/>
    <w:rsid w:val="004F0E67"/>
    <w:rsid w:val="00513881"/>
    <w:rsid w:val="00516955"/>
    <w:rsid w:val="0052169A"/>
    <w:rsid w:val="00525296"/>
    <w:rsid w:val="00532E18"/>
    <w:rsid w:val="00564199"/>
    <w:rsid w:val="00584D31"/>
    <w:rsid w:val="005871DF"/>
    <w:rsid w:val="00591AC9"/>
    <w:rsid w:val="005B2961"/>
    <w:rsid w:val="005E2918"/>
    <w:rsid w:val="005F05F2"/>
    <w:rsid w:val="005F7774"/>
    <w:rsid w:val="0060473C"/>
    <w:rsid w:val="00625F03"/>
    <w:rsid w:val="00631BDF"/>
    <w:rsid w:val="006366C0"/>
    <w:rsid w:val="0067744D"/>
    <w:rsid w:val="00685109"/>
    <w:rsid w:val="0069122C"/>
    <w:rsid w:val="006913AA"/>
    <w:rsid w:val="00695C6A"/>
    <w:rsid w:val="00696AA1"/>
    <w:rsid w:val="006B60D8"/>
    <w:rsid w:val="006F760B"/>
    <w:rsid w:val="00701879"/>
    <w:rsid w:val="007438BA"/>
    <w:rsid w:val="0074411A"/>
    <w:rsid w:val="007512C8"/>
    <w:rsid w:val="00775944"/>
    <w:rsid w:val="007A27F9"/>
    <w:rsid w:val="007C5A72"/>
    <w:rsid w:val="007C5CC4"/>
    <w:rsid w:val="007D0C42"/>
    <w:rsid w:val="007D1AE8"/>
    <w:rsid w:val="007D7406"/>
    <w:rsid w:val="007E3BA6"/>
    <w:rsid w:val="007E48E1"/>
    <w:rsid w:val="007F55F8"/>
    <w:rsid w:val="00820740"/>
    <w:rsid w:val="0083259E"/>
    <w:rsid w:val="0085234F"/>
    <w:rsid w:val="00853E45"/>
    <w:rsid w:val="008555B6"/>
    <w:rsid w:val="008638B6"/>
    <w:rsid w:val="00863CB8"/>
    <w:rsid w:val="008641A4"/>
    <w:rsid w:val="00870037"/>
    <w:rsid w:val="00872D44"/>
    <w:rsid w:val="008C1814"/>
    <w:rsid w:val="008C25CE"/>
    <w:rsid w:val="008E31E0"/>
    <w:rsid w:val="008F0EEF"/>
    <w:rsid w:val="008F448E"/>
    <w:rsid w:val="008F48F1"/>
    <w:rsid w:val="00902E78"/>
    <w:rsid w:val="009057F1"/>
    <w:rsid w:val="009155AA"/>
    <w:rsid w:val="0092542F"/>
    <w:rsid w:val="00936F16"/>
    <w:rsid w:val="00944997"/>
    <w:rsid w:val="00953B81"/>
    <w:rsid w:val="0096729E"/>
    <w:rsid w:val="00992780"/>
    <w:rsid w:val="00992F6B"/>
    <w:rsid w:val="009A2D6F"/>
    <w:rsid w:val="009A3F0B"/>
    <w:rsid w:val="009B2562"/>
    <w:rsid w:val="009C1DF8"/>
    <w:rsid w:val="009C35ED"/>
    <w:rsid w:val="009D3D13"/>
    <w:rsid w:val="009E4422"/>
    <w:rsid w:val="009F6066"/>
    <w:rsid w:val="00A152E1"/>
    <w:rsid w:val="00A6619A"/>
    <w:rsid w:val="00AE4DAE"/>
    <w:rsid w:val="00AF44A8"/>
    <w:rsid w:val="00B056FC"/>
    <w:rsid w:val="00B074CE"/>
    <w:rsid w:val="00B24AC3"/>
    <w:rsid w:val="00B25706"/>
    <w:rsid w:val="00B508EA"/>
    <w:rsid w:val="00B51C0D"/>
    <w:rsid w:val="00B71919"/>
    <w:rsid w:val="00B71BC0"/>
    <w:rsid w:val="00B7503D"/>
    <w:rsid w:val="00BD0565"/>
    <w:rsid w:val="00C20CCB"/>
    <w:rsid w:val="00C21221"/>
    <w:rsid w:val="00C275CD"/>
    <w:rsid w:val="00C50A3B"/>
    <w:rsid w:val="00C52DDB"/>
    <w:rsid w:val="00C62A8C"/>
    <w:rsid w:val="00C73244"/>
    <w:rsid w:val="00C77F9F"/>
    <w:rsid w:val="00C8238C"/>
    <w:rsid w:val="00C911DA"/>
    <w:rsid w:val="00C958A4"/>
    <w:rsid w:val="00CA0767"/>
    <w:rsid w:val="00CD2BEB"/>
    <w:rsid w:val="00CE236A"/>
    <w:rsid w:val="00CE6256"/>
    <w:rsid w:val="00CF768E"/>
    <w:rsid w:val="00D00928"/>
    <w:rsid w:val="00D20750"/>
    <w:rsid w:val="00D21293"/>
    <w:rsid w:val="00D303AF"/>
    <w:rsid w:val="00D42882"/>
    <w:rsid w:val="00D95A93"/>
    <w:rsid w:val="00DE394C"/>
    <w:rsid w:val="00DE7086"/>
    <w:rsid w:val="00E0316F"/>
    <w:rsid w:val="00E038B2"/>
    <w:rsid w:val="00E16993"/>
    <w:rsid w:val="00E22E37"/>
    <w:rsid w:val="00E231CB"/>
    <w:rsid w:val="00E4111B"/>
    <w:rsid w:val="00E65474"/>
    <w:rsid w:val="00E6742C"/>
    <w:rsid w:val="00E70D5A"/>
    <w:rsid w:val="00E76F8E"/>
    <w:rsid w:val="00E816CF"/>
    <w:rsid w:val="00E8710D"/>
    <w:rsid w:val="00E87D2B"/>
    <w:rsid w:val="00EB3D67"/>
    <w:rsid w:val="00ED45D3"/>
    <w:rsid w:val="00EE3856"/>
    <w:rsid w:val="00EF0467"/>
    <w:rsid w:val="00F16DD9"/>
    <w:rsid w:val="00F22577"/>
    <w:rsid w:val="00F27DA0"/>
    <w:rsid w:val="00F667EF"/>
    <w:rsid w:val="00F74F20"/>
    <w:rsid w:val="00F838B0"/>
    <w:rsid w:val="00F858A8"/>
    <w:rsid w:val="00F92D57"/>
    <w:rsid w:val="00F9434B"/>
    <w:rsid w:val="00FB243E"/>
    <w:rsid w:val="00FC1043"/>
    <w:rsid w:val="00FD5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6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9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6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6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6C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66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59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6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9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6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66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66C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66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59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Beattie</dc:creator>
  <cp:lastModifiedBy>Stuart Beattie</cp:lastModifiedBy>
  <cp:revision>10</cp:revision>
  <dcterms:created xsi:type="dcterms:W3CDTF">2011-06-16T08:20:00Z</dcterms:created>
  <dcterms:modified xsi:type="dcterms:W3CDTF">2011-06-16T09:11:00Z</dcterms:modified>
</cp:coreProperties>
</file>